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right"/>
        <w:rPr/>
      </w:pPr>
      <w:r>
        <w:rPr>
          <w:i/>
          <w:sz w:val="18"/>
        </w:rPr>
        <w:t>Egzemplarz nr 1</w:t>
      </w:r>
    </w:p>
    <w:p>
      <w:pPr>
        <w:pStyle w:val="Normal"/>
        <w:bidi w:val="0"/>
        <w:ind w:left="0" w:right="0" w:hanging="0"/>
        <w:jc w:val="right"/>
        <w:rPr/>
      </w:pPr>
      <w:r>
        <w:rPr>
          <w:i/>
          <w:sz w:val="18"/>
        </w:rPr>
        <w:t>PROJEKT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/>
      </w:pPr>
      <w:r>
        <w:rPr>
          <w:b/>
        </w:rPr>
        <w:t>Uchwała Nr …/…/2024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/>
      </w:pPr>
      <w:r>
        <w:rPr>
          <w:b/>
        </w:rPr>
        <w:t>Rady Miejskiej w Błażowej</w:t>
      </w:r>
    </w:p>
    <w:p>
      <w:pPr>
        <w:pStyle w:val="Normal"/>
        <w:widowControl w:val="false"/>
        <w:suppressAutoHyphens w:val="true"/>
        <w:bidi w:val="0"/>
        <w:spacing w:before="0" w:after="240"/>
        <w:ind w:left="0" w:right="0" w:hanging="0"/>
        <w:jc w:val="center"/>
        <w:rPr/>
      </w:pPr>
      <w:r>
        <w:rPr>
          <w:b/>
        </w:rPr>
        <w:t>z dnia 24.09.2024r.</w:t>
      </w:r>
    </w:p>
    <w:p>
      <w:pPr>
        <w:pStyle w:val="Normal"/>
        <w:bidi w:val="0"/>
        <w:spacing w:before="240" w:after="240"/>
        <w:ind w:left="0" w:right="0" w:hanging="0"/>
        <w:jc w:val="center"/>
        <w:rPr/>
      </w:pPr>
      <w:r>
        <w:rPr>
          <w:b/>
        </w:rPr>
        <w:t>w sprawie rozpatrzenia petycji.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/>
        <w:t xml:space="preserve">Na podstawie art. 18b ust. 1 ustawy z 08.03.1990 r. o samorządzie gminnym (t.j. Dz.U. </w:t>
        <w:br/>
        <w:t xml:space="preserve">z 2023r., poz. 40 z późn. zm.) oraz art. 9 ust. 2 ustawy z 11.07.2014 r. o petycjach (t.j. Dz.U. </w:t>
        <w:br/>
        <w:t>z 2018 r. poz. 870), uchwala się, co następuje:</w:t>
      </w:r>
    </w:p>
    <w:p>
      <w:pPr>
        <w:pStyle w:val="Normal"/>
        <w:bidi w:val="0"/>
        <w:spacing w:before="240" w:after="0"/>
        <w:ind w:left="0" w:right="0" w:firstLine="426"/>
        <w:jc w:val="center"/>
        <w:rPr/>
      </w:pPr>
      <w:r>
        <w:rPr>
          <w:b/>
        </w:rPr>
        <w:t>§ 1.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/>
        <w:t xml:space="preserve">Uznaje się, że wniesiona w dniu 5 czerwca 2024r., petycja dotycząca wykonania rekonesansu w obszarze związanym z potrzebą stopniowego udzielania wsparcia gospodarstwom domowym na terenie miejscowo właściwym dla gminy w zakresie stopniowej instalacji ekologicznych, nowoczesnych przydomowych oczyszczalni ścieków - zgodnie z trendami panującymi w tej mierze na terenie samorządów UE, </w:t>
      </w:r>
      <w:r>
        <w:rPr>
          <w:rStyle w:val="Markedcontent"/>
          <w:lang w:val="pl-PL" w:eastAsia="pl-PL" w:bidi="ar-SA"/>
        </w:rPr>
        <w:t>nie zasługuje na uwzględnienie.</w:t>
      </w:r>
    </w:p>
    <w:p>
      <w:pPr>
        <w:pStyle w:val="Normal"/>
        <w:bidi w:val="0"/>
        <w:spacing w:before="240" w:after="0"/>
        <w:ind w:left="0" w:right="0" w:firstLine="426"/>
        <w:jc w:val="center"/>
        <w:rPr/>
      </w:pPr>
      <w:r>
        <w:rPr>
          <w:b/>
        </w:rPr>
        <w:t>§ 2.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/>
        <w:t>Uzasadnienie dla sposobu rozpatrzenia petycji stanowi załącznik do uchwały.</w:t>
      </w:r>
    </w:p>
    <w:p>
      <w:pPr>
        <w:pStyle w:val="Normal"/>
        <w:bidi w:val="0"/>
        <w:spacing w:before="240" w:after="0"/>
        <w:ind w:left="0" w:right="0" w:firstLine="426"/>
        <w:jc w:val="center"/>
        <w:rPr/>
      </w:pPr>
      <w:r>
        <w:rPr>
          <w:b/>
        </w:rPr>
        <w:t>§ 3.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/>
        <w:t xml:space="preserve">O sposobie rozpatrzenia petycji Przewodniczący Rady Miejskiej zawiadomi wnoszącego. </w:t>
      </w:r>
    </w:p>
    <w:p>
      <w:pPr>
        <w:pStyle w:val="Normal"/>
        <w:bidi w:val="0"/>
        <w:spacing w:before="240" w:after="0"/>
        <w:ind w:left="0" w:right="0" w:firstLine="426"/>
        <w:jc w:val="center"/>
        <w:rPr/>
      </w:pPr>
      <w:r>
        <w:rPr>
          <w:b/>
        </w:rPr>
        <w:t>§ 4.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/>
        <w:t>Uchwała wchodzi w życie z dniem podjęcia.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bidi w:val="0"/>
        <w:spacing w:lineRule="auto" w:line="252"/>
        <w:ind w:left="5670" w:right="0" w:hanging="5670"/>
        <w:rPr/>
      </w:pPr>
      <w:r>
        <w:rPr/>
        <w:tab/>
        <w:tab/>
        <w:tab/>
        <w:tab/>
        <w:tab/>
        <w:tab/>
        <w:tab/>
        <w:tab/>
        <w:tab/>
        <w:t xml:space="preserve">Przewodniczący Rady Miejskiej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bidi w:val="0"/>
        <w:spacing w:lineRule="auto" w:line="252"/>
        <w:ind w:left="5670" w:right="0" w:hanging="567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bidi w:val="0"/>
        <w:spacing w:lineRule="auto" w:line="252"/>
        <w:ind w:left="5670" w:right="0" w:hanging="5670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445" w:leader="none"/>
        </w:tabs>
        <w:bidi w:val="0"/>
        <w:ind w:left="0" w:right="0" w:hanging="0"/>
        <w:rPr/>
      </w:pPr>
      <w:r>
        <w:rPr/>
        <w:t xml:space="preserve">                                                                                                          </w:t>
      </w:r>
      <w:r>
        <w:rPr/>
        <w:t>Wojciech Kruczek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/>
      </w:pPr>
      <w:r>
        <w:rPr/>
        <w:tab/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>Wykonano w 3 Egzemplarzach:</w:t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>- Egzemplarz nr 1 – a/a;</w:t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 xml:space="preserve">- Egzemplarz nr 2 – Podkarpacki Urząd Wojewódzki w Rzeszowie, Wydział Prawny i Nadzoru, </w:t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>ul. Grunwaldzka 15, 35-959 Rzeszów;</w:t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>- Egzemplarz nr 3 – Szulc-Efekt Sp. z o.o. ul. Poligonowa 1, 04-051 Warszawa.</w:t>
      </w:r>
    </w:p>
    <w:p>
      <w:pPr>
        <w:pStyle w:val="Normal"/>
        <w:bidi w:val="0"/>
        <w:ind w:left="0" w:right="0" w:hanging="0"/>
        <w:rPr/>
      </w:pPr>
      <w:r>
        <w:rPr>
          <w:i/>
          <w:sz w:val="18"/>
          <w:szCs w:val="18"/>
        </w:rPr>
        <w:tab/>
        <w:tab/>
        <w:t xml:space="preserve"> </w:t>
      </w:r>
    </w:p>
    <w:p>
      <w:pPr>
        <w:pStyle w:val="Normal"/>
        <w:keepNext w:val="true"/>
        <w:bidi w:val="0"/>
        <w:spacing w:before="120" w:after="120"/>
        <w:ind w:left="0" w:right="0" w:hanging="0"/>
        <w:jc w:val="right"/>
        <w:rPr/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  <w:sz w:val="20"/>
          <w:szCs w:val="20"/>
        </w:rPr>
        <w:t>Załącznik do uchwały Nr …/…/2024</w:t>
        <w:br/>
        <w:t>Rady Miejskiej w Błażowej</w:t>
        <w:br/>
        <w:t>z dnia 24.09.2024 r.</w:t>
      </w:r>
    </w:p>
    <w:p>
      <w:pPr>
        <w:pStyle w:val="Normal"/>
        <w:tabs>
          <w:tab w:val="clear" w:pos="708"/>
          <w:tab w:val="left" w:pos="7260" w:leader="none"/>
        </w:tabs>
        <w:bidi w:val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40" w:leader="none"/>
        </w:tabs>
        <w:bidi w:val="0"/>
        <w:ind w:left="0" w:right="0" w:hanging="0"/>
        <w:jc w:val="center"/>
        <w:rPr/>
      </w:pPr>
      <w:r>
        <w:rPr>
          <w:b/>
          <w:sz w:val="22"/>
          <w:szCs w:val="22"/>
        </w:rPr>
        <w:t>UZASADNIENIE</w:t>
      </w:r>
    </w:p>
    <w:p>
      <w:pPr>
        <w:pStyle w:val="Normal"/>
        <w:bidi w:val="0"/>
        <w:spacing w:lineRule="auto" w:line="288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color w:val="000000"/>
        </w:rPr>
        <w:t xml:space="preserve">W dniu 5 czerwca 2024r., drogą elektroniczną wpłynęła do Urzędu Miejskiego </w:t>
        <w:br/>
        <w:t xml:space="preserve">w Błażowej petycja dotycząca </w:t>
      </w:r>
      <w:r>
        <w:rPr/>
        <w:t>wykonania rekonesansu w obszarze związanym z potrzebą stopniowego udzielania wsparcia gospodarstwom domowym na terenie miejscowo właściwym dla gminy w zakresie stopniowej instalacji ekologicznych, nowoczesnych przydomowych oczyszczalni ścieków - zgodnie z trendami panującymi w tej mierze na terenie samorządów UE.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color w:val="000000"/>
        </w:rPr>
        <w:t xml:space="preserve">W myśl art. 18 b ust. 1 ustawy z dnia 8 marca 1990 r. o samorządzie gminnym </w:t>
        <w:br/>
        <w:t xml:space="preserve">(t.j. Dz.U. z 2022r., poz. 559) w celu rozpatrywania wniosków i petycji przez Radę Gminy powołuje się Komisję Skarg, Wniosków i Petycji. Mając na uwadze powyższe regulacje prawne Przewodniczący Rady skierował petycję do zaopiniowania przez Komisję Skarg, Wniosków i Petycji celem zajęcia stanowiska i wyrażenia opinii w przedmiocie petycji. Podczas posiedzenia Komisji Skarg, Wniosków i Petycji w dniu 29 lipca 2024r. dokonano  analizy wniesionej petycji i oceniono jej zasadność. 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color w:val="000000"/>
        </w:rPr>
        <w:t xml:space="preserve">Informuję, że Rada Miejska w Błażowej co rocznie w swoim budżecie uchwala środki na </w:t>
      </w:r>
      <w:r>
        <w:rPr/>
        <w:t xml:space="preserve">przydomowe oczyszczalnie ścieków. Środki budżetowe gminy na przydomowe oczyszczalnie ścieków są niewystarczalne i niedostateczne dlatego mieszkańcy korzystają </w:t>
        <w:br/>
        <w:t xml:space="preserve">z innych form wsparcia służącego podobny celom (np. w zakresie budowy kanalizacji komunalnej). 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/>
        <w:t xml:space="preserve">Należy wskazać, że Gmina Błażowa realizuje obowiązki w zakresie zbiorowego odprowadzania ścieków systematycznie rozbudowuje funkcjonującą na terenie gminy sieć kanalizacyjną oraz prowadzi działania inwestycyjne zmierzające do budowy nowej oczyszczalni ścieków. 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color w:val="000000"/>
        </w:rPr>
        <w:t xml:space="preserve">Priorytetem Gminy Błażowa jest budowa drugiej oczyszczalni ścieków i sieci kanalizacji sanitarnej (zadanie pt.: </w:t>
      </w:r>
      <w:r>
        <w:rPr>
          <w:i/>
          <w:iCs/>
          <w:color w:val="000000"/>
        </w:rPr>
        <w:t>”Budowa sieci wodociągowej wraz z pompownią wodociągową oraz instalacją elektryczną zasilającą policznikową”)</w:t>
      </w:r>
      <w:r>
        <w:rPr>
          <w:color w:val="000000"/>
        </w:rPr>
        <w:t xml:space="preserve">  oraz podłączanie do niej nieruchomości nieskanalizowanych. Rozbudowa infrastruktury kanalizacyjnej w Gminie Błażowa prowadzona jest najczęściej przy udziale środków finansowych pozyskanych </w:t>
        <w:br/>
        <w:t>w ramach projektów z funduszy zewnętrznych dlatego czas realizacji jest odległy.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color w:val="000000"/>
        </w:rPr>
        <w:t>Ponadto informuję, że osoby odpowiedzialne zaznajomili się z protokołami pokontrolnymi NIK dotyczącymi zbiorników bezodpływowych i przydomowych oczyszczalni ścieków oraz ich kontroli. Gmina Błażowa skrupulatnie kontroluje zbiorniki bezodpływowe i przydomowe oczyszczalnie ścieków w zakresie ich opróżniania oraz posiadania dokumentów potwierdzających ten fakt i umów z firmami asenizacyjnymi.</w:t>
      </w:r>
    </w:p>
    <w:p>
      <w:pPr>
        <w:pStyle w:val="Normal"/>
        <w:bidi w:val="0"/>
        <w:spacing w:lineRule="auto" w:line="288"/>
        <w:ind w:left="0" w:right="0" w:firstLine="708"/>
        <w:jc w:val="both"/>
        <w:rPr/>
      </w:pPr>
      <w:r>
        <w:rPr>
          <w:rStyle w:val="Markedcontent"/>
          <w:lang w:val="pl-PL" w:eastAsia="pl-PL" w:bidi="ar-SA"/>
        </w:rPr>
        <w:t xml:space="preserve">Biorąc pod uwagę opinię Komisji Skarg, Wniosków i Petycji Rady Miejskiej </w:t>
        <w:br/>
        <w:t>w Błażowej, Rada Miejska w Błażowej nie uwzględnia przedmiotowej petycji.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Hyperlink"/>
    <w:basedOn w:val="DefaultParagraphFont"/>
    <w:rPr>
      <w:color w:val="FF0000"/>
      <w:sz w:val="24"/>
      <w:szCs w:val="24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>
    <w:name w:val="Endnote Reference"/>
    <w:rPr>
      <w:sz w:val="24"/>
      <w:szCs w:val="24"/>
      <w:vertAlign w:val="superscript"/>
    </w:rPr>
  </w:style>
  <w:style w:type="character" w:styleId="EndnoteCharacters">
    <w:name w:val="Endnote Characters"/>
    <w:basedOn w:val="DefaultParagraphFont"/>
    <w:qFormat/>
    <w:rPr>
      <w:sz w:val="24"/>
      <w:szCs w:val="24"/>
      <w:vertAlign w:val="superscript"/>
    </w:rPr>
  </w:style>
  <w:style w:type="character" w:styleId="Markedcontent">
    <w:name w:val="markedconte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2"/>
      <w:szCs w:val="22"/>
      <w:lang w:val="pl-PL" w:eastAsia="pl-PL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546</Words>
  <Characters>3442</Characters>
  <CharactersWithSpaces>4232</CharactersWithSpaces>
  <Paragraphs>34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2022-07-14T11:51:00Z</dcterms:created>
  <dc:creator>Dominik_Krus</dc:creator>
  <dc:description/>
  <dc:language>pl-PL</dc:language>
  <cp:lastModifiedBy/>
  <cp:lastPrinted>2024-09-18T15:25:00Z</cp:lastPrinted>
  <dcterms:modified xsi:type="dcterms:W3CDTF">2024-09-18T15:26:00Z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Ewelina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ZNAKI:">
    <vt:lpwstr>691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liczba">
    <vt:lpwstr>0</vt:lpwstr>
  </property>
  <property fmtid="{D5CDD505-2E9C-101B-9397-08002B2CF9AE}" pid="9" name="wk_stat:zapis">
    <vt:lpwstr>2019-01-24 13:43:11</vt:lpwstr>
  </property>
  <property fmtid="{D5CDD505-2E9C-101B-9397-08002B2CF9AE}" pid="10" name="wk_stat:znaki:liczba">
    <vt:lpwstr>691</vt:lpwstr>
  </property>
</Properties>
</file>