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52" w:before="0" w:after="0"/>
        <w:jc w:val="center"/>
        <w:rPr>
          <w:rFonts w:ascii="Calibri" w:hAnsi="Calibri" w:cs="Calibri"/>
          <w:b/>
          <w:b/>
          <w:bCs/>
        </w:rPr>
      </w:pPr>
      <w:r>
        <w:rPr>
          <w:rFonts w:cs="Calibri"/>
          <w:b/>
          <w:bCs/>
        </w:rPr>
        <w:t xml:space="preserve">UCHWAŁA Nr </w:t>
      </w:r>
      <w:r>
        <w:rPr>
          <w:rFonts w:cs="Calibri"/>
          <w:b/>
          <w:bCs/>
        </w:rPr>
        <w:t>XXIII/209</w:t>
      </w:r>
      <w:r>
        <w:rPr>
          <w:rFonts w:cs="Calibri"/>
          <w:b/>
          <w:bCs/>
        </w:rPr>
        <w:t>/2025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52" w:before="0" w:after="0"/>
        <w:jc w:val="center"/>
        <w:rPr>
          <w:rFonts w:ascii="Calibri" w:hAnsi="Calibri" w:cs="Calibri"/>
          <w:b/>
          <w:b/>
          <w:bCs/>
        </w:rPr>
      </w:pPr>
      <w:r>
        <w:rPr>
          <w:rFonts w:cs="Calibri"/>
          <w:b/>
          <w:bCs/>
        </w:rPr>
        <w:t>Rady Miejskiej w Błażowej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52"/>
        <w:jc w:val="center"/>
        <w:rPr>
          <w:rFonts w:ascii="Calibri" w:hAnsi="Calibri" w:cs="Calibri"/>
          <w:b/>
          <w:b/>
          <w:bCs/>
        </w:rPr>
      </w:pPr>
      <w:r>
        <w:rPr>
          <w:rFonts w:cs="Calibri"/>
          <w:b/>
          <w:bCs/>
        </w:rPr>
        <w:t>z dnia 23.12.2025r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52"/>
        <w:jc w:val="center"/>
        <w:rPr>
          <w:rFonts w:ascii="Calibri" w:hAnsi="Calibri" w:cs="Calibri"/>
          <w:b/>
          <w:b/>
          <w:bCs/>
        </w:rPr>
      </w:pPr>
      <w:r>
        <w:rPr>
          <w:rFonts w:cs="Calibri"/>
          <w:b/>
          <w:bCs/>
        </w:rPr>
        <w:t>w sprawie zmiany uchwały budżetowej Gminy Błażowa na 2025r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before="24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 podstawie art.18 ust.2 pkt 4 ustawy z dnia 8 marca 1990r o samorządzie gminnym (Dz.U. z 2024 r, poz.1465.) oraz art.211, art. 212,art. 235,art. 236, art. 237, ustawy z dnia 27 sierpnia 2009r o finansach  publicznych (t.j. Dz. U. z 2022r, poz. 1634 ze zm.)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52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52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Rada Miejska w Błażowej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52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uchwala co następuje</w:t>
      </w:r>
    </w:p>
    <w:tbl>
      <w:tblPr>
        <w:tblStyle w:val="Tabela-Siatka"/>
        <w:tblW w:w="986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048"/>
        <w:gridCol w:w="1814"/>
      </w:tblGrid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  <w:t>§ 1. Zwiększa się dochody budżetowe na 2025 rok o kwotę: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l-PL" w:eastAsia="en-US" w:bidi="ar-SA"/>
              </w:rPr>
              <w:t>875 276,66</w:t>
            </w:r>
          </w:p>
        </w:tc>
      </w:tr>
      <w:tr>
        <w:trPr>
          <w:trHeight w:val="336" w:hRule="atLeast"/>
        </w:trPr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bCs/>
                <w:i/>
                <w:i/>
              </w:rPr>
            </w:pPr>
            <w:r>
              <w:rPr>
                <w:rFonts w:cs="Times New Roman" w:ascii="Times New Roman" w:hAnsi="Times New Roman"/>
                <w:b/>
                <w:bCs/>
                <w:i/>
              </w:rPr>
            </w:r>
          </w:p>
        </w:tc>
      </w:tr>
      <w:tr>
        <w:trPr>
          <w:trHeight w:val="336" w:hRule="atLeast"/>
        </w:trPr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l-PL" w:eastAsia="en-US" w:bidi="ar-SA"/>
              </w:rPr>
              <w:t>a)dochody bieżące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l-PL" w:eastAsia="en-US" w:bidi="ar-SA"/>
              </w:rPr>
              <w:t>849 345,00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 xml:space="preserve">Środki w ramach programu „Asystent rodziny w 2025” 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18 585,00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System opieki nad dziećmi w wieku do lat 3- wpływy z usług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10 000,00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 xml:space="preserve">Stołówki szkolne o przedszkolne -wpływy z usług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ZS Błażowa – 15000,00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SP Futoma – 8000,00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23 000,00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Dochody z najmu i dzierżawy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55 000,00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Oddziały przedszkolne w szkołach podst.-</w:t>
            </w: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Wpływy z usług (koszty opieki - oddział przedszkolny)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28 000,00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Podatek od czynności cywilnoprawnych (75616-0500)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110 000,00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Wpływy z pozostałych odsetek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15 000,00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Wpływy z różnych dochodów –refundacja z PUP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25 000,00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Dochody jednostek samorządu terytorialnego związane z realizacją zadań z zakresu zadań zleconych -dochód z tytułu funduszu alimentacyjnego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13 000,00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Środki z programu Aktywny Maluch (refundacja z Podkarpacki Urząd Wojewódzki)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96 447,66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Środki z FERS (Fundusze Europejskie dla Rozwoju Społecznego) z programu "Aktywny Maluch" (refundacja z Ministerstwa Finansów za stworzenie nowych miejsc opieki w żłobku.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455 312,34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bCs/>
                <w:i/>
                <w:i/>
              </w:rPr>
            </w:pPr>
            <w:r>
              <w:rPr>
                <w:rFonts w:cs="Times New Roman" w:ascii="Times New Roman" w:hAnsi="Times New Roman"/>
                <w:b/>
                <w:bCs/>
                <w:i/>
              </w:rPr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  <w:t>b) dochody majątkowe</w:t>
              <w:tab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bCs/>
                <w:i/>
                <w:i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2"/>
                <w:szCs w:val="22"/>
                <w:lang w:val="pl-PL" w:eastAsia="en-US" w:bidi="ar-SA"/>
              </w:rPr>
              <w:t>25 931,66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Środki otrzymane z WFOŚiGW w Rzeszowie (rozliczenie odebranego azbestu umowa z 2024)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25 931,66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  <w:t>§ 2. Zmniejsza się dochody budżetowe na 2025 rok o kwotę: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l-PL" w:eastAsia="en-US" w:bidi="ar-SA"/>
              </w:rPr>
              <w:t>-4 883 082,42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l-PL" w:eastAsia="en-US" w:bidi="ar-SA"/>
              </w:rPr>
              <w:t>a)dochody bieżące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bCs/>
                <w:i/>
                <w:i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2"/>
                <w:szCs w:val="22"/>
                <w:lang w:val="pl-PL" w:eastAsia="en-US" w:bidi="ar-SA"/>
              </w:rPr>
              <w:t>-553 901,21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Środki  FEPK w ramach programu E-usługi (2057)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-448 421,21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 xml:space="preserve">System opieki nad dziećmi w wieku do lat 3-Wpływy z różnych opłat 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-105 480,00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bCs/>
                <w:i/>
                <w:i/>
              </w:rPr>
            </w:pPr>
            <w:r>
              <w:rPr>
                <w:rFonts w:cs="Times New Roman" w:ascii="Times New Roman" w:hAnsi="Times New Roman"/>
                <w:b/>
                <w:bCs/>
                <w:i/>
              </w:rPr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l-PL" w:eastAsia="en-US" w:bidi="ar-SA"/>
              </w:rPr>
              <w:t>b)dochody majątkowe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bCs/>
                <w:i/>
                <w:i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2"/>
                <w:szCs w:val="22"/>
                <w:lang w:val="pl-PL" w:eastAsia="en-US" w:bidi="ar-SA"/>
              </w:rPr>
              <w:t xml:space="preserve">-4 329 181,21 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 xml:space="preserve">Środki FEPK w ramach projektu Budowa sieci kanalizacji sanitarnej i sieci wodociągowej w Gminie Błażowa (90001-6257) 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-1 630 307,07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Środki FEPK w ramach projektu Budowa sieci kanalizacji sanitarnej i sieci wodociągowej w Gminie Błażowa (01043-6257)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-479 257,06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Środki  FEPK w ramach programu E-usługi (6257)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-1 214 617,08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Wpłaty z tytułu odpłatnego nabycia prawa własności oraz prawa (sprzedaż działek)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-580 000,00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i/>
                <w:i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Przebudowa infrastruktury sportowej na terenie Gminy Błażowa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pl-PL" w:eastAsia="en-US" w:bidi="ar-SA"/>
              </w:rPr>
              <w:t>(ostatni etap zadania na 2026)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-425 000,00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l-PL" w:eastAsia="en-US" w:bidi="ar-SA"/>
              </w:rPr>
              <w:t>§ 3.Zwiększa się wydatki budżetu Gmin na 2025 rok o kwotę: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l-PL" w:eastAsia="en-US" w:bidi="ar-SA"/>
              </w:rPr>
              <w:t>83 194,24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i/>
                <w:i/>
              </w:rPr>
            </w:pPr>
            <w:r>
              <w:rPr>
                <w:rFonts w:cs="Times New Roman" w:ascii="Times New Roman" w:hAnsi="Times New Roman"/>
                <w:bCs/>
                <w:i/>
              </w:rPr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l-PL" w:eastAsia="en-US" w:bidi="ar-SA"/>
              </w:rPr>
              <w:t>a)wydatki bieżące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bCs/>
                <w:i/>
                <w:i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2"/>
                <w:szCs w:val="22"/>
                <w:lang w:val="pl-PL" w:eastAsia="en-US" w:bidi="ar-SA"/>
              </w:rPr>
              <w:t>69 194,24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shd w:fill="FFFFFF" w:val="clear"/>
                <w:lang w:val="pl-PL" w:eastAsia="en-US" w:bidi="ar-SA"/>
              </w:rPr>
              <w:t>Stołówki szkolne o przedszkolne</w:t>
            </w:r>
            <w:r>
              <w:rPr>
                <w:rFonts w:eastAsia="" w:cs="Times New Roman" w:ascii="Times New Roman" w:hAnsi="Times New Roman" w:eastAsiaTheme="minorEastAsia"/>
                <w:kern w:val="0"/>
                <w:sz w:val="22"/>
                <w:szCs w:val="22"/>
                <w:lang w:val="pl-PL" w:eastAsia="pl-PL" w:bidi="ar-SA"/>
              </w:rPr>
              <w:t xml:space="preserve"> -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shd w:fill="FFFFFF" w:val="clear"/>
                <w:lang w:val="pl-PL" w:eastAsia="en-US" w:bidi="ar-SA"/>
              </w:rPr>
              <w:t>Zakup środków żywności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shd w:fill="FFFFFF" w:val="clear"/>
                <w:lang w:val="pl-PL" w:eastAsia="en-US" w:bidi="ar-SA"/>
              </w:rPr>
              <w:t>ZS Błażowa – 15000,00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shd w:fill="FFFFFF" w:val="clear"/>
                <w:lang w:val="pl-PL" w:eastAsia="en-US" w:bidi="ar-SA"/>
              </w:rPr>
              <w:t>SP Futoma – 8000,00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-100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ind w:left="33" w:hanging="133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23 000,00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System opieki nad dziećmi w wieku do lat 3- zakup żywności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10 000,00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Wspieranie rodziny –Asystent rodziny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18 585,00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 xml:space="preserve">OSP –zakup materiałów i wyposażenia 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17 609,24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l-PL" w:eastAsia="en-US" w:bidi="ar-SA"/>
              </w:rPr>
              <w:t>b) wydatki majątkowe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contextualSpacing/>
              <w:jc w:val="right"/>
              <w:rPr>
                <w:rFonts w:ascii="Times New Roman" w:hAnsi="Times New Roman" w:cs="Times New Roman"/>
                <w:b/>
                <w:b/>
                <w:bCs/>
                <w:i/>
                <w:i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2"/>
                <w:szCs w:val="22"/>
                <w:lang w:val="pl-PL" w:eastAsia="en-US" w:bidi="ar-SA"/>
              </w:rPr>
              <w:t>14 000,00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Modernizacja nawierzchni drogi dz. nr 442 obr. ewid. Błażowa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14 000,00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l-PL" w:eastAsia="en-US" w:bidi="ar-SA"/>
              </w:rPr>
              <w:t>§ 4.Zmniejsza się wydatki budżetu Gminy na 2025 rok o kwotę: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  <w:t>-4 091 000,00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l-PL" w:eastAsia="en-US" w:bidi="ar-SA"/>
              </w:rPr>
              <w:t>a)wydatki  bieżące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cs="Times New Roman"/>
                <w:b/>
                <w:b/>
                <w:i/>
                <w:i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2"/>
                <w:szCs w:val="22"/>
                <w:lang w:val="pl-PL" w:eastAsia="en-US" w:bidi="ar-SA"/>
              </w:rPr>
              <w:t>-1 010 000,00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Odsetki od zaciągniętych przez jednostkę samorządu terytorialnego kredytów 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-90 000,00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Działalność usługowa -Plany zagospodarowania przestrzennego- zakup usług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-250 000,00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Dotacje celowe przekazane gminie na zadania bieżące –koszty opieki w niepublicznych przedszkolach (80104-2310)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-50 000,00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Poprawa Cyberbezpieczeństwa w Gminie Błażowa – zakup usług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pl-PL" w:eastAsia="en-US" w:bidi="ar-SA"/>
              </w:rPr>
              <w:t>(4309)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-90 000,00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Świadczenia społeczne (Gminne becikowe)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-30 000,00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Zakup usług – zadanie e-usługi</w:t>
            </w: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pl-PL" w:eastAsia="en-US" w:bidi="ar-SA"/>
              </w:rPr>
              <w:t xml:space="preserve"> (4309, 4307)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-430 000,00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Dotacja podmiotowa z budżetu dla samorządowej instytucji kultury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-70 000,00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  <w:t>b) wydatki majątkowe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bCs/>
                <w:i/>
                <w:i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2"/>
                <w:szCs w:val="22"/>
                <w:lang w:val="pl-PL" w:eastAsia="en-US" w:bidi="ar-SA"/>
              </w:rPr>
              <w:t>-3 081 000,00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Przebudowa infrastruktury sportowej na terenie Gminy Błażowa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pl-PL" w:eastAsia="en-US" w:bidi="ar-SA"/>
              </w:rPr>
              <w:t>(ostatni etap zadania na 2026)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-425 000,00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FEPK.02.06 - Budowa sieci kanalizacji sanitarnej i sieci wodociągowej w Gminie Błażowa (90001-6057)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-500 000,00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FEPK.02.06 - Budowa sieci kanalizacji sanitarnej i sieci wodociągowej w Gminie Błażowa (klasyfikacja 01043-6057, 01043-6059)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-500 000,00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Poprawa Cyberbezpieczeństwa w Gminie Błażowa     (klasyfikacja 6057 i 6059)                                                                                      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-550 000,00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Budowa nowego boiska wielofunkcyjnego z zadaszeniem o stałej konstrukcji przy Szkole Podstawowej w Nowym Borku (zmniejszenie planu po zakończeniu zadania)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-50 000,00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Opracowanie dokumentacji projektowo-kosztorysowej budowy nowego boiska wielofunkcyjnego wraz z zadaszeniem o stałej konstrukcji przy Szkole Podstawowej w Kąkolówce (zmniejszenie planu po zakończeniu zadania -projektu)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-36 000,00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Budowa sieci wodociągowej w miejscowości Nowy Borek (PROW - wkład własny-zmniejszenie planu po zakończeniu zadania)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-40 000,00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Budowa nowego boiska wielofunkcyjnego z zadaszeniem o stałej konstrukcji przy Szkole Podstawowej w Kąkolówce (ostatni etap zadania przeniesiony na 2026)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-800 000,00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Budowa zbiornika wody uzdatnionej na SUW w Błażowej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-50 000,00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Opracowanie dokumentacji projektowo-kosztorysowej budowy sieci wodociągowej w miejscowości Futoma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pl-PL" w:eastAsia="en-US" w:bidi="ar-SA"/>
              </w:rPr>
              <w:t>(część zadania przeniesiona na rok 2026)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-30 000,00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Budowa sieci wodociągowej w miejscowości Kąkolówka – Ujazdy (zmniejszenie planu po zakończonym zadaniu)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-35 000,00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Budowa studni S-1 bis - opracowanie dokumentacji (zmniejszenie planu)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-15 000,00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PŁ - Budowa oczyszczalni ścieków (etap I) w Nowym Borku wraz z rozbudową kanalizacji sanitarnej na terenie Gminy Błażowa (wkład własny)-zmniejszenie planu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-50 000,00</w:t>
            </w:r>
          </w:p>
        </w:tc>
      </w:tr>
      <w:tr>
        <w:trPr/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52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52" w:before="0" w:after="0"/>
        <w:rPr>
          <w:rFonts w:ascii="Times New Roman" w:hAnsi="Times New Roman" w:cs="Times New Roman"/>
          <w:b/>
          <w:b/>
          <w:bCs/>
        </w:rPr>
      </w:pPr>
      <w:bookmarkStart w:id="0" w:name="_GoBack"/>
      <w:bookmarkEnd w:id="0"/>
      <w:r>
        <w:rPr>
          <w:rFonts w:cs="Times New Roman" w:ascii="Times New Roman" w:hAnsi="Times New Roman"/>
          <w:b/>
          <w:bCs/>
        </w:rPr>
        <w:t xml:space="preserve">§5 Dokonuje się zmian w dziale 801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52" w:before="0" w:after="0"/>
        <w:rPr>
          <w:rFonts w:ascii="Times New Roman" w:hAnsi="Times New Roman" w:cs="Times New Roman"/>
          <w:bCs/>
          <w:i/>
          <w:i/>
        </w:rPr>
      </w:pPr>
      <w:r>
        <w:rPr>
          <w:rFonts w:cs="Times New Roman" w:ascii="Times New Roman" w:hAnsi="Times New Roman"/>
          <w:bCs/>
          <w:i/>
        </w:rPr>
      </w:r>
    </w:p>
    <w:tbl>
      <w:tblPr>
        <w:tblW w:w="954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779"/>
        <w:gridCol w:w="5813"/>
        <w:gridCol w:w="1558"/>
        <w:gridCol w:w="1389"/>
      </w:tblGrid>
      <w:tr>
        <w:trPr/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52" w:before="0" w:after="0"/>
              <w:rPr>
                <w:rFonts w:ascii="Times New Roman" w:hAnsi="Times New Roman" w:cs="Times New Roman"/>
                <w:b/>
                <w:b/>
                <w:bCs/>
                <w:i/>
                <w:i/>
              </w:rPr>
            </w:pPr>
            <w:r>
              <w:rPr>
                <w:rFonts w:cs="Times New Roman" w:ascii="Times New Roman" w:hAnsi="Times New Roman"/>
                <w:b/>
                <w:bCs/>
                <w:i/>
              </w:rPr>
              <w:t xml:space="preserve">  </w:t>
            </w:r>
            <w:r>
              <w:rPr>
                <w:rFonts w:cs="Times New Roman" w:ascii="Times New Roman" w:hAnsi="Times New Roman"/>
                <w:b/>
                <w:bCs/>
                <w:i/>
              </w:rPr>
              <w:t>Dz.</w:t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52" w:before="0" w:after="0"/>
              <w:rPr>
                <w:rFonts w:ascii="Times New Roman" w:hAnsi="Times New Roman" w:cs="Times New Roman"/>
                <w:b/>
                <w:b/>
                <w:bCs/>
                <w:i/>
                <w:i/>
              </w:rPr>
            </w:pPr>
            <w:r>
              <w:rPr>
                <w:rFonts w:cs="Times New Roman" w:ascii="Times New Roman" w:hAnsi="Times New Roman"/>
                <w:b/>
                <w:bCs/>
                <w:i/>
              </w:rPr>
              <w:t>Rozdz</w:t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52" w:before="0" w:after="0"/>
              <w:rPr>
                <w:rFonts w:ascii="Times New Roman" w:hAnsi="Times New Roman" w:cs="Times New Roman"/>
                <w:b/>
                <w:b/>
                <w:bCs/>
                <w:i/>
                <w:i/>
              </w:rPr>
            </w:pPr>
            <w:r>
              <w:rPr>
                <w:rFonts w:cs="Times New Roman" w:ascii="Times New Roman" w:hAnsi="Times New Roman"/>
                <w:b/>
                <w:bCs/>
                <w:i/>
              </w:rPr>
              <w:t xml:space="preserve">    </w:t>
            </w:r>
            <w:r>
              <w:rPr>
                <w:rFonts w:cs="Times New Roman" w:ascii="Times New Roman" w:hAnsi="Times New Roman"/>
                <w:b/>
                <w:bCs/>
                <w:i/>
              </w:rPr>
              <w:t>§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52" w:before="0" w:after="0"/>
              <w:rPr>
                <w:rFonts w:ascii="Times New Roman" w:hAnsi="Times New Roman" w:cs="Times New Roman"/>
                <w:b/>
                <w:b/>
                <w:bCs/>
                <w:i/>
                <w:i/>
              </w:rPr>
            </w:pPr>
            <w:r>
              <w:rPr>
                <w:rFonts w:cs="Times New Roman" w:ascii="Times New Roman" w:hAnsi="Times New Roman"/>
                <w:b/>
                <w:bCs/>
                <w:i/>
              </w:rPr>
              <w:t xml:space="preserve">                  </w:t>
            </w:r>
            <w:r>
              <w:rPr>
                <w:rFonts w:cs="Times New Roman" w:ascii="Times New Roman" w:hAnsi="Times New Roman"/>
                <w:b/>
                <w:bCs/>
                <w:i/>
              </w:rPr>
              <w:t>Treść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52" w:before="0" w:after="0"/>
              <w:rPr>
                <w:rFonts w:ascii="Times New Roman" w:hAnsi="Times New Roman" w:cs="Times New Roman"/>
                <w:b/>
                <w:b/>
                <w:bCs/>
                <w:i/>
                <w:i/>
              </w:rPr>
            </w:pPr>
            <w:r>
              <w:rPr>
                <w:rFonts w:cs="Times New Roman" w:ascii="Times New Roman" w:hAnsi="Times New Roman"/>
                <w:b/>
                <w:bCs/>
                <w:i/>
              </w:rPr>
              <w:t>Zmniejszenie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52" w:before="0" w:after="0"/>
              <w:rPr>
                <w:rFonts w:ascii="Times New Roman" w:hAnsi="Times New Roman" w:cs="Times New Roman"/>
                <w:b/>
                <w:b/>
                <w:bCs/>
                <w:i/>
                <w:i/>
              </w:rPr>
            </w:pPr>
            <w:r>
              <w:rPr>
                <w:rFonts w:cs="Times New Roman" w:ascii="Times New Roman" w:hAnsi="Times New Roman"/>
                <w:b/>
                <w:bCs/>
                <w:i/>
              </w:rPr>
              <w:t>Zwiększenie</w:t>
            </w:r>
          </w:p>
        </w:tc>
      </w:tr>
      <w:tr>
        <w:trPr>
          <w:trHeight w:val="415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52" w:before="0" w:after="0"/>
              <w:rPr>
                <w:rFonts w:ascii="Times New Roman" w:hAnsi="Times New Roman" w:cs="Times New Roman"/>
                <w:bCs/>
                <w:i/>
                <w:i/>
              </w:rPr>
            </w:pPr>
            <w:r>
              <w:rPr>
                <w:rFonts w:cs="Times New Roman" w:ascii="Times New Roman" w:hAnsi="Times New Roman"/>
                <w:b/>
                <w:bCs/>
                <w:i/>
              </w:rPr>
              <w:t>801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52" w:before="0" w:after="0"/>
              <w:rPr>
                <w:rFonts w:ascii="Times New Roman" w:hAnsi="Times New Roman" w:cs="Times New Roman"/>
                <w:b/>
                <w:b/>
                <w:bCs/>
                <w:i/>
                <w:i/>
              </w:rPr>
            </w:pPr>
            <w:r>
              <w:rPr>
                <w:rFonts w:cs="Times New Roman" w:ascii="Times New Roman" w:hAnsi="Times New Roman"/>
                <w:b/>
                <w:bCs/>
                <w:i/>
              </w:rPr>
              <w:t>Oświata i Wychowanie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52" w:before="0" w:after="0"/>
              <w:rPr>
                <w:rFonts w:ascii="Times New Roman" w:hAnsi="Times New Roman" w:cs="Times New Roman"/>
                <w:b/>
                <w:b/>
                <w:bCs/>
                <w:i/>
                <w:i/>
              </w:rPr>
            </w:pPr>
            <w:r>
              <w:rPr>
                <w:rFonts w:cs="Times New Roman" w:ascii="Times New Roman" w:hAnsi="Times New Roman"/>
                <w:b/>
                <w:bCs/>
                <w:i/>
              </w:rPr>
              <w:t>11 500,00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52" w:before="0" w:after="0"/>
              <w:rPr>
                <w:rFonts w:ascii="Times New Roman" w:hAnsi="Times New Roman" w:cs="Times New Roman"/>
                <w:b/>
                <w:b/>
                <w:bCs/>
                <w:i/>
                <w:i/>
              </w:rPr>
            </w:pPr>
            <w:r>
              <w:rPr>
                <w:rFonts w:cs="Times New Roman" w:ascii="Times New Roman" w:hAnsi="Times New Roman"/>
                <w:b/>
                <w:bCs/>
                <w:i/>
              </w:rPr>
              <w:t>11 500,00</w:t>
            </w:r>
          </w:p>
        </w:tc>
      </w:tr>
      <w:tr>
        <w:trPr>
          <w:trHeight w:val="392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52" w:before="0" w:after="0"/>
              <w:rPr>
                <w:rFonts w:ascii="Times New Roman" w:hAnsi="Times New Roman" w:cs="Times New Roman"/>
                <w:b/>
                <w:b/>
                <w:bCs/>
                <w:i/>
                <w:i/>
              </w:rPr>
            </w:pPr>
            <w:r>
              <w:rPr>
                <w:rFonts w:cs="Times New Roman" w:ascii="Times New Roman" w:hAnsi="Times New Roman"/>
                <w:b/>
                <w:bCs/>
                <w:i/>
              </w:rPr>
              <w:t>80148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52" w:before="0" w:after="0"/>
              <w:rPr>
                <w:rFonts w:ascii="Times New Roman" w:hAnsi="Times New Roman" w:cs="Times New Roman"/>
                <w:b/>
                <w:b/>
                <w:bCs/>
                <w:i/>
                <w:i/>
              </w:rPr>
            </w:pPr>
            <w:r>
              <w:rPr>
                <w:rFonts w:cs="Times New Roman" w:ascii="Times New Roman" w:hAnsi="Times New Roman"/>
                <w:b/>
                <w:bCs/>
                <w:i/>
              </w:rPr>
              <w:t>Stołówki szkolne i przedszkolne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52" w:before="0" w:after="0"/>
              <w:rPr>
                <w:rFonts w:ascii="Times New Roman" w:hAnsi="Times New Roman" w:cs="Times New Roman"/>
                <w:b/>
                <w:b/>
                <w:bCs/>
                <w:i/>
                <w:i/>
              </w:rPr>
            </w:pPr>
            <w:r>
              <w:rPr>
                <w:rFonts w:cs="Times New Roman" w:ascii="Times New Roman" w:hAnsi="Times New Roman"/>
                <w:b/>
                <w:bCs/>
                <w:i/>
              </w:rPr>
              <w:t>11 500,00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52" w:before="0" w:after="0"/>
              <w:rPr>
                <w:rFonts w:ascii="Times New Roman" w:hAnsi="Times New Roman" w:cs="Times New Roman"/>
                <w:b/>
                <w:b/>
                <w:bCs/>
                <w:i/>
                <w:i/>
              </w:rPr>
            </w:pPr>
            <w:r>
              <w:rPr>
                <w:rFonts w:cs="Times New Roman" w:ascii="Times New Roman" w:hAnsi="Times New Roman"/>
                <w:b/>
                <w:bCs/>
                <w:i/>
              </w:rPr>
              <w:t>11 500,00</w:t>
            </w:r>
          </w:p>
        </w:tc>
      </w:tr>
      <w:tr>
        <w:trPr>
          <w:trHeight w:val="415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52" w:before="0" w:after="0"/>
              <w:rPr>
                <w:rFonts w:ascii="Times New Roman" w:hAnsi="Times New Roman" w:cs="Times New Roman"/>
                <w:bCs/>
                <w:i/>
                <w:i/>
              </w:rPr>
            </w:pPr>
            <w:r>
              <w:rPr>
                <w:rFonts w:cs="Times New Roman" w:ascii="Times New Roman" w:hAnsi="Times New Roman"/>
                <w:bCs/>
                <w:i/>
              </w:rPr>
              <w:t>4210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52" w:before="0" w:after="0"/>
              <w:rPr>
                <w:rFonts w:ascii="Times New Roman" w:hAnsi="Times New Roman" w:cs="Times New Roman"/>
                <w:bCs/>
                <w:i/>
                <w:i/>
              </w:rPr>
            </w:pPr>
            <w:r>
              <w:rPr>
                <w:rFonts w:cs="Times New Roman" w:ascii="Times New Roman" w:hAnsi="Times New Roman"/>
                <w:bCs/>
                <w:i/>
              </w:rPr>
              <w:t>Zakup materiałów i wyposażenia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52" w:before="0" w:after="0"/>
              <w:rPr>
                <w:rFonts w:ascii="Times New Roman" w:hAnsi="Times New Roman" w:cs="Times New Roman"/>
                <w:bCs/>
                <w:i/>
                <w:i/>
              </w:rPr>
            </w:pPr>
            <w:r>
              <w:rPr>
                <w:rFonts w:cs="Times New Roman" w:ascii="Times New Roman" w:hAnsi="Times New Roman"/>
                <w:bCs/>
                <w:i/>
              </w:rPr>
              <w:t>11 500,00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52" w:before="0" w:after="0"/>
              <w:rPr>
                <w:rFonts w:ascii="Times New Roman" w:hAnsi="Times New Roman" w:cs="Times New Roman"/>
                <w:bCs/>
                <w:i/>
                <w:i/>
              </w:rPr>
            </w:pPr>
            <w:r>
              <w:rPr>
                <w:rFonts w:cs="Times New Roman" w:ascii="Times New Roman" w:hAnsi="Times New Roman"/>
                <w:bCs/>
                <w:i/>
              </w:rPr>
            </w:r>
          </w:p>
        </w:tc>
      </w:tr>
      <w:tr>
        <w:trPr>
          <w:trHeight w:val="415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52" w:before="0" w:after="0"/>
              <w:rPr>
                <w:rFonts w:ascii="Times New Roman" w:hAnsi="Times New Roman" w:cs="Times New Roman"/>
                <w:bCs/>
                <w:i/>
                <w:i/>
              </w:rPr>
            </w:pPr>
            <w:r>
              <w:rPr>
                <w:rFonts w:cs="Times New Roman" w:ascii="Times New Roman" w:hAnsi="Times New Roman"/>
                <w:bCs/>
                <w:i/>
              </w:rPr>
              <w:t>6060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52" w:before="0" w:after="0"/>
              <w:rPr>
                <w:rFonts w:ascii="Times New Roman" w:hAnsi="Times New Roman" w:cs="Times New Roman"/>
                <w:bCs/>
                <w:i/>
                <w:i/>
              </w:rPr>
            </w:pPr>
            <w:r>
              <w:rPr>
                <w:rFonts w:cs="Times New Roman" w:ascii="Times New Roman" w:hAnsi="Times New Roman"/>
                <w:bCs/>
                <w:i/>
              </w:rPr>
              <w:t>wydatki na zakupy inwestycyjne jednostek budżetowych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52" w:before="0" w:after="0"/>
              <w:rPr>
                <w:rFonts w:ascii="Times New Roman" w:hAnsi="Times New Roman" w:cs="Times New Roman"/>
                <w:bCs/>
                <w:i/>
                <w:i/>
              </w:rPr>
            </w:pPr>
            <w:r>
              <w:rPr>
                <w:rFonts w:cs="Times New Roman" w:ascii="Times New Roman" w:hAnsi="Times New Roman"/>
                <w:bCs/>
                <w:i/>
              </w:rPr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52" w:before="0" w:after="0"/>
              <w:rPr>
                <w:rFonts w:ascii="Times New Roman" w:hAnsi="Times New Roman" w:cs="Times New Roman"/>
                <w:bCs/>
                <w:i/>
                <w:i/>
              </w:rPr>
            </w:pPr>
            <w:r>
              <w:rPr>
                <w:rFonts w:cs="Times New Roman" w:ascii="Times New Roman" w:hAnsi="Times New Roman"/>
                <w:bCs/>
                <w:i/>
              </w:rPr>
              <w:t>11 500,00</w:t>
            </w:r>
          </w:p>
        </w:tc>
      </w:tr>
      <w:tr>
        <w:trPr>
          <w:trHeight w:val="454" w:hRule="atLeast"/>
        </w:trPr>
        <w:tc>
          <w:tcPr>
            <w:tcW w:w="6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52" w:before="0" w:after="0"/>
              <w:rPr>
                <w:rFonts w:ascii="Times New Roman" w:hAnsi="Times New Roman" w:cs="Times New Roman"/>
                <w:b/>
                <w:b/>
                <w:bCs/>
                <w:i/>
                <w:i/>
              </w:rPr>
            </w:pPr>
            <w:r>
              <w:rPr>
                <w:rFonts w:cs="Times New Roman" w:ascii="Times New Roman" w:hAnsi="Times New Roman"/>
                <w:b/>
                <w:bCs/>
                <w:i/>
              </w:rPr>
              <w:t>razem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52" w:before="0" w:after="0"/>
              <w:rPr>
                <w:rFonts w:ascii="Times New Roman" w:hAnsi="Times New Roman" w:cs="Times New Roman"/>
                <w:b/>
                <w:b/>
                <w:bCs/>
                <w:i/>
                <w:i/>
              </w:rPr>
            </w:pPr>
            <w:r>
              <w:rPr>
                <w:rFonts w:cs="Times New Roman" w:ascii="Times New Roman" w:hAnsi="Times New Roman"/>
                <w:b/>
                <w:bCs/>
                <w:i/>
              </w:rPr>
              <w:t>11 500,00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52" w:before="0" w:after="0"/>
              <w:rPr>
                <w:rFonts w:ascii="Times New Roman" w:hAnsi="Times New Roman" w:cs="Times New Roman"/>
                <w:b/>
                <w:b/>
                <w:bCs/>
                <w:i/>
                <w:i/>
              </w:rPr>
            </w:pPr>
            <w:r>
              <w:rPr>
                <w:rFonts w:cs="Times New Roman" w:ascii="Times New Roman" w:hAnsi="Times New Roman"/>
                <w:b/>
                <w:bCs/>
                <w:i/>
              </w:rPr>
              <w:t>11 500,00</w:t>
            </w:r>
          </w:p>
        </w:tc>
      </w:tr>
    </w:tbl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52" w:before="0" w:after="0"/>
        <w:rPr>
          <w:rFonts w:ascii="Times New Roman" w:hAnsi="Times New Roman" w:cs="Times New Roman"/>
          <w:bCs/>
          <w:i/>
          <w:i/>
        </w:rPr>
      </w:pPr>
      <w:r>
        <w:rPr>
          <w:rFonts w:cs="Times New Roman" w:ascii="Times New Roman" w:hAnsi="Times New Roman"/>
          <w:bCs/>
          <w:i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52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§6 Dokonuje się zmian w dziale  w projekcie: FEPK.02.06 - Budowa sieci kanalizacji sanitarnej i sieci wodociągowej w Gminie Błażowa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52" w:before="0" w:after="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52" w:before="0" w:after="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Dział 010 rozdział 01043 § 6059 kwota -7 600,00 (zmniejszenie)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52" w:before="0" w:after="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Dział 010 rozdział 01043 § 4019 kwota +7 600,00 (zwiększenie)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52" w:before="0" w:after="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52" w:before="0" w:after="0"/>
        <w:rPr>
          <w:rFonts w:ascii="Times New Roman" w:hAnsi="Times New Roman" w:cs="Times New Roman"/>
          <w:bCs/>
          <w:i/>
          <w:i/>
        </w:rPr>
      </w:pPr>
      <w:r>
        <w:rPr>
          <w:rFonts w:cs="Times New Roman" w:ascii="Times New Roman" w:hAnsi="Times New Roman"/>
          <w:bCs/>
          <w:i/>
        </w:rPr>
        <w:t>Zmiany określają tabele nr 1,2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52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52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§ 7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52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Wykonanie uchwały zleca się Burmistrzowi Błażowej.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52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52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§ 8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52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Uchwała wchodzi w życie z dniem podjęcia.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52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52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52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52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52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52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52" w:before="0" w:after="0"/>
        <w:ind w:left="5670" w:hanging="567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52" w:before="0" w:after="0"/>
        <w:ind w:left="5670" w:hanging="567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</w:t>
      </w:r>
      <w:r>
        <w:rPr>
          <w:rFonts w:cs="Times New Roman" w:ascii="Times New Roman" w:hAnsi="Times New Roman"/>
        </w:rPr>
        <w:t xml:space="preserve">Przewodniczący Rady Miejskiej    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52" w:before="0" w:after="0"/>
        <w:ind w:left="5670" w:hanging="567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52" w:before="0" w:after="0"/>
        <w:ind w:left="5670" w:hanging="567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</w:t>
      </w:r>
      <w:r>
        <w:rPr>
          <w:rFonts w:cs="Times New Roman" w:ascii="Times New Roman" w:hAnsi="Times New Roman"/>
        </w:rPr>
        <w:t>Wojciech Kruczek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52" w:before="0" w:after="0"/>
        <w:ind w:left="5670" w:hanging="567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52" w:before="0" w:after="0"/>
        <w:ind w:left="5670" w:hanging="5670"/>
        <w:rPr>
          <w:rFonts w:ascii="Calibri" w:hAnsi="Calibri" w:cs="Calibri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96c15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c2ee7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83546b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c2ee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3546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4548</TotalTime>
  <Application>LibreOffice/7.4.0.3$Windows_X86_64 LibreOffice_project/f85e47c08ddd19c015c0114a68350214f7066f5a</Application>
  <AppVersion>15.0000</AppVersion>
  <Pages>3</Pages>
  <Words>873</Words>
  <Characters>5129</Characters>
  <CharactersWithSpaces>6244</CharactersWithSpaces>
  <Paragraphs>158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2023-03-15T09:42:00Z</dcterms:created>
  <dc:creator>Konto Microsoft</dc:creator>
  <dc:description/>
  <dc:language>pl-PL</dc:language>
  <cp:lastModifiedBy/>
  <cp:lastPrinted>2025-12-22T17:46:00Z</cp:lastPrinted>
  <dcterms:modified xsi:type="dcterms:W3CDTF">2025-12-23T00:26:20Z</dcterms:modified>
  <cp:revision>180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